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37C" w:rsidRDefault="00DF7E15" w:rsidP="00F53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LEI N° 178</w:t>
      </w:r>
      <w:r w:rsidR="00F5337C" w:rsidRPr="00F5337C">
        <w:rPr>
          <w:rFonts w:ascii="Times New Roman" w:hAnsi="Times New Roman" w:cs="Times New Roman"/>
          <w:sz w:val="28"/>
          <w:szCs w:val="28"/>
        </w:rPr>
        <w:t>/2014</w:t>
      </w:r>
    </w:p>
    <w:p w:rsidR="00F5337C" w:rsidRPr="00F5337C" w:rsidRDefault="00F5337C" w:rsidP="00F53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337C" w:rsidRPr="00F5337C" w:rsidRDefault="00F5337C" w:rsidP="00F53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337C" w:rsidRPr="00F5337C" w:rsidRDefault="00F5337C" w:rsidP="00F5337C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F5337C">
        <w:rPr>
          <w:rFonts w:ascii="Times New Roman" w:hAnsi="Times New Roman" w:cs="Times New Roman"/>
          <w:sz w:val="28"/>
          <w:szCs w:val="28"/>
        </w:rPr>
        <w:t>"Dispõe sobre o parcelamento e anistia de multas, juros incidentes, no recolhimento de IPTU e ISSQN referente aos exercícios anteriores até o ano de 2013".</w:t>
      </w:r>
    </w:p>
    <w:p w:rsidR="00F5337C" w:rsidRPr="00F5337C" w:rsidRDefault="00F5337C" w:rsidP="00F53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337C" w:rsidRDefault="00F5337C" w:rsidP="00F53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37C">
        <w:rPr>
          <w:rFonts w:ascii="Times New Roman" w:hAnsi="Times New Roman" w:cs="Times New Roman"/>
          <w:sz w:val="28"/>
          <w:szCs w:val="28"/>
        </w:rPr>
        <w:t>A Câmara Municipal de Piau aprovou e eu Prefeito Municipal sanciono a seguinte Lei:</w:t>
      </w:r>
    </w:p>
    <w:p w:rsidR="00F5337C" w:rsidRPr="00F5337C" w:rsidRDefault="00F5337C" w:rsidP="00F53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337C" w:rsidRDefault="00F5337C" w:rsidP="00F53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37C">
        <w:rPr>
          <w:rFonts w:ascii="Times New Roman" w:hAnsi="Times New Roman" w:cs="Times New Roman"/>
          <w:sz w:val="28"/>
          <w:szCs w:val="28"/>
        </w:rPr>
        <w:t>ART. 1º - Os débitos municipais, relativos a IPTU - Imposto Sobre a Propriedade Territorial Urbana e ISSQN - Imposto Sobre Serviços de Qualquer Natureza, referentes aos exercícios anteriores até o ano de 2013, poderão ser pagos em até 12(x) parcelas iguais e consecutivas, com anistia de 100% (cem por cento) de multas, juros.</w:t>
      </w:r>
    </w:p>
    <w:p w:rsidR="00F5337C" w:rsidRPr="00F5337C" w:rsidRDefault="00F5337C" w:rsidP="00F53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37C" w:rsidRPr="00F5337C" w:rsidRDefault="00F5337C" w:rsidP="00F53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37C">
        <w:rPr>
          <w:rFonts w:ascii="Times New Roman" w:hAnsi="Times New Roman" w:cs="Times New Roman"/>
          <w:sz w:val="28"/>
          <w:szCs w:val="28"/>
        </w:rPr>
        <w:t>ART. 2° - Para fazer jus ao presente benefício, o contribuinte interessado deverá protocolar competente requerimento junto ao Município.</w:t>
      </w:r>
    </w:p>
    <w:p w:rsidR="00F5337C" w:rsidRPr="00F5337C" w:rsidRDefault="00F5337C" w:rsidP="00F53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337C" w:rsidRPr="00F5337C" w:rsidRDefault="00F5337C" w:rsidP="00F53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37C">
        <w:rPr>
          <w:rFonts w:ascii="Times New Roman" w:hAnsi="Times New Roman" w:cs="Times New Roman"/>
          <w:sz w:val="28"/>
          <w:szCs w:val="28"/>
        </w:rPr>
        <w:t>ART. 3° - O prazo para a protocolização do requerimento a que se refere o artigo anterior, deverá ser efetuado até 19 (dezenove) de dezembro de 2014, e o pagamento da primeira parcela deverá ser efetuado,</w:t>
      </w:r>
      <w:r>
        <w:rPr>
          <w:rFonts w:ascii="Times New Roman" w:hAnsi="Times New Roman" w:cs="Times New Roman"/>
          <w:sz w:val="28"/>
          <w:szCs w:val="28"/>
        </w:rPr>
        <w:t xml:space="preserve"> impreterivelmente, até o dia 10</w:t>
      </w:r>
      <w:r w:rsidRPr="00F5337C">
        <w:rPr>
          <w:rFonts w:ascii="Times New Roman" w:hAnsi="Times New Roman" w:cs="Times New Roman"/>
          <w:sz w:val="28"/>
          <w:szCs w:val="28"/>
        </w:rPr>
        <w:t xml:space="preserve"> (dez) de janeiro de 2014 e as demais na mesma data dos meses subsequentes.</w:t>
      </w:r>
    </w:p>
    <w:p w:rsidR="00F5337C" w:rsidRPr="00F5337C" w:rsidRDefault="00F5337C" w:rsidP="00F53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337C" w:rsidRPr="00F5337C" w:rsidRDefault="00F5337C" w:rsidP="00F53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37C">
        <w:rPr>
          <w:rFonts w:ascii="Times New Roman" w:hAnsi="Times New Roman" w:cs="Times New Roman"/>
          <w:sz w:val="28"/>
          <w:szCs w:val="28"/>
        </w:rPr>
        <w:t>ART. 4° - A inadimplência no pagamento de mais de uma parcela, implicará no vencimento antecipado das demais, com a perda do benefício contido nesta Lei Municipal, e ainda, com a aplicação de multa de 10% (dez por cento) sobre o débito remanescente, juros, correção.</w:t>
      </w:r>
    </w:p>
    <w:p w:rsidR="00F5337C" w:rsidRPr="00F5337C" w:rsidRDefault="00F5337C" w:rsidP="00F53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337C" w:rsidRPr="00F5337C" w:rsidRDefault="00F5337C" w:rsidP="00F53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37C">
        <w:rPr>
          <w:rFonts w:ascii="Times New Roman" w:hAnsi="Times New Roman" w:cs="Times New Roman"/>
          <w:sz w:val="28"/>
          <w:szCs w:val="28"/>
        </w:rPr>
        <w:t>ART. 5°-  Esta Lei entrará em vigor na data de sua publicação.</w:t>
      </w:r>
    </w:p>
    <w:p w:rsidR="00F5337C" w:rsidRPr="00F5337C" w:rsidRDefault="00F5337C" w:rsidP="00F53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337C" w:rsidRDefault="009A62E5" w:rsidP="00F53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Piau, 26</w:t>
      </w:r>
      <w:r w:rsidR="00DF7E15">
        <w:rPr>
          <w:rFonts w:ascii="Times New Roman" w:hAnsi="Times New Roman" w:cs="Times New Roman"/>
          <w:sz w:val="28"/>
          <w:szCs w:val="28"/>
        </w:rPr>
        <w:t xml:space="preserve"> de novembro</w:t>
      </w:r>
      <w:r w:rsidR="00F5337C" w:rsidRPr="00F5337C">
        <w:rPr>
          <w:rFonts w:ascii="Times New Roman" w:hAnsi="Times New Roman" w:cs="Times New Roman"/>
          <w:sz w:val="28"/>
          <w:szCs w:val="28"/>
        </w:rPr>
        <w:t xml:space="preserve"> de 2014.</w:t>
      </w:r>
    </w:p>
    <w:p w:rsidR="00F5337C" w:rsidRDefault="00F5337C" w:rsidP="00F53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337C" w:rsidRPr="00F5337C" w:rsidRDefault="00F5337C" w:rsidP="00F53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337C" w:rsidRPr="00F5337C" w:rsidRDefault="00F5337C" w:rsidP="00F53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337C" w:rsidRPr="00F5337C" w:rsidRDefault="00F5337C" w:rsidP="00F53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337C" w:rsidRPr="00F5337C" w:rsidRDefault="00F5337C" w:rsidP="00F53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337C">
        <w:rPr>
          <w:rFonts w:ascii="Times New Roman" w:hAnsi="Times New Roman" w:cs="Times New Roman"/>
          <w:sz w:val="28"/>
          <w:szCs w:val="28"/>
        </w:rPr>
        <w:t>Carlos Alberto Lopes de Oliveira</w:t>
      </w:r>
    </w:p>
    <w:p w:rsidR="00131466" w:rsidRDefault="00F5337C" w:rsidP="00F53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337C">
        <w:rPr>
          <w:rFonts w:ascii="Times New Roman" w:hAnsi="Times New Roman" w:cs="Times New Roman"/>
          <w:sz w:val="28"/>
          <w:szCs w:val="28"/>
        </w:rPr>
        <w:t>Prefeito Municipal</w:t>
      </w:r>
    </w:p>
    <w:p w:rsidR="00F5337C" w:rsidRDefault="00F5337C" w:rsidP="00F53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337C" w:rsidRDefault="00F5337C" w:rsidP="00F53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337C" w:rsidRDefault="00F5337C" w:rsidP="00F53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337C" w:rsidRPr="00F5337C" w:rsidRDefault="00F5337C" w:rsidP="00F53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337C">
        <w:rPr>
          <w:rFonts w:ascii="Times New Roman" w:hAnsi="Times New Roman" w:cs="Times New Roman"/>
          <w:sz w:val="28"/>
          <w:szCs w:val="28"/>
        </w:rPr>
        <w:lastRenderedPageBreak/>
        <w:t>JUSTIFICATIVA</w:t>
      </w:r>
    </w:p>
    <w:p w:rsidR="00F5337C" w:rsidRPr="00F5337C" w:rsidRDefault="00F5337C" w:rsidP="00F53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337C" w:rsidRPr="00F5337C" w:rsidRDefault="00F5337C" w:rsidP="00F53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37C">
        <w:rPr>
          <w:rFonts w:ascii="Times New Roman" w:hAnsi="Times New Roman" w:cs="Times New Roman"/>
          <w:sz w:val="28"/>
          <w:szCs w:val="28"/>
        </w:rPr>
        <w:t>Senhor Presidente, Senhores Vereadores,</w:t>
      </w:r>
    </w:p>
    <w:p w:rsidR="00F5337C" w:rsidRPr="00F5337C" w:rsidRDefault="00F5337C" w:rsidP="00F53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337C" w:rsidRPr="00F5337C" w:rsidRDefault="00F5337C" w:rsidP="00F53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5337C">
        <w:rPr>
          <w:rFonts w:ascii="Times New Roman" w:hAnsi="Times New Roman" w:cs="Times New Roman"/>
          <w:sz w:val="28"/>
          <w:szCs w:val="28"/>
        </w:rPr>
        <w:t xml:space="preserve">A Administração Municipal, procurando amenizar a inadimplência do IPTU e ISSQN frente a municipalidade, sendo certo que quase </w:t>
      </w:r>
      <w:proofErr w:type="spellStart"/>
      <w:r w:rsidRPr="00F5337C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F5337C">
        <w:rPr>
          <w:rFonts w:ascii="Times New Roman" w:hAnsi="Times New Roman" w:cs="Times New Roman"/>
          <w:sz w:val="28"/>
          <w:szCs w:val="28"/>
        </w:rPr>
        <w:t xml:space="preserve"> totalidade dos casos o ajuizamento de execução fiscal não se mostra viável, considerando o baixo valor do imposto cobrado anualmente quando comparado aos custos do processo judicial, tem como finalidade incentivar a população de Piau a adimplir seus débitos. Portanto, encaminho o projeto de lei que tem como objetivo conceder isenção</w:t>
      </w:r>
      <w:r>
        <w:rPr>
          <w:rFonts w:ascii="Times New Roman" w:hAnsi="Times New Roman" w:cs="Times New Roman"/>
          <w:sz w:val="28"/>
          <w:szCs w:val="28"/>
        </w:rPr>
        <w:t xml:space="preserve"> de juros multas no importe de 10</w:t>
      </w:r>
      <w:r w:rsidRPr="00F5337C">
        <w:rPr>
          <w:rFonts w:ascii="Times New Roman" w:hAnsi="Times New Roman" w:cs="Times New Roman"/>
          <w:sz w:val="28"/>
          <w:szCs w:val="28"/>
        </w:rPr>
        <w:t>0%.</w:t>
      </w:r>
    </w:p>
    <w:p w:rsidR="00F5337C" w:rsidRPr="00F5337C" w:rsidRDefault="00F5337C" w:rsidP="00F53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5337C">
        <w:rPr>
          <w:rFonts w:ascii="Times New Roman" w:hAnsi="Times New Roman" w:cs="Times New Roman"/>
          <w:sz w:val="28"/>
          <w:szCs w:val="28"/>
        </w:rPr>
        <w:t>O impacto financeiro da med</w:t>
      </w:r>
      <w:r>
        <w:rPr>
          <w:rFonts w:ascii="Times New Roman" w:hAnsi="Times New Roman" w:cs="Times New Roman"/>
          <w:sz w:val="28"/>
          <w:szCs w:val="28"/>
        </w:rPr>
        <w:t>ida, com relação ao disposto no</w:t>
      </w:r>
      <w:r w:rsidRPr="00F5337C">
        <w:rPr>
          <w:rFonts w:ascii="Times New Roman" w:hAnsi="Times New Roman" w:cs="Times New Roman"/>
          <w:sz w:val="28"/>
          <w:szCs w:val="28"/>
        </w:rPr>
        <w:t xml:space="preserve"> artigo 1° será aproximado de R$ 114.758,54 em 2015. Ressalte-se que a medida não acarreta impacto financeiro para o ano de 2015.</w:t>
      </w:r>
    </w:p>
    <w:p w:rsidR="00F5337C" w:rsidRPr="00F5337C" w:rsidRDefault="00F5337C" w:rsidP="00F53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5337C">
        <w:rPr>
          <w:rFonts w:ascii="Times New Roman" w:hAnsi="Times New Roman" w:cs="Times New Roman"/>
          <w:sz w:val="28"/>
          <w:szCs w:val="28"/>
        </w:rPr>
        <w:t>A referida proposição estabelece mecanismos de pagamento dos débitos tributários, com redução dos encarg</w:t>
      </w:r>
      <w:r>
        <w:rPr>
          <w:rFonts w:ascii="Times New Roman" w:hAnsi="Times New Roman" w:cs="Times New Roman"/>
          <w:sz w:val="28"/>
          <w:szCs w:val="28"/>
        </w:rPr>
        <w:t>os devidos em um percentual de 10</w:t>
      </w:r>
      <w:r w:rsidRPr="00F5337C">
        <w:rPr>
          <w:rFonts w:ascii="Times New Roman" w:hAnsi="Times New Roman" w:cs="Times New Roman"/>
          <w:sz w:val="28"/>
          <w:szCs w:val="28"/>
        </w:rPr>
        <w:t>0%, com o propósito de criar um estímulo aos contribuintes para a regularização de sua situação fiscal, através da flexibilização do pagamento dos débitos tributários, o que importará na redução da inadimplência.</w:t>
      </w:r>
    </w:p>
    <w:p w:rsidR="00F5337C" w:rsidRPr="00F5337C" w:rsidRDefault="00F5337C" w:rsidP="00F53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5337C">
        <w:rPr>
          <w:rFonts w:ascii="Times New Roman" w:hAnsi="Times New Roman" w:cs="Times New Roman"/>
          <w:sz w:val="28"/>
          <w:szCs w:val="28"/>
        </w:rPr>
        <w:t>Nesse sentido, realizados os estudos decorrentes da estimativa do impacto orçamentário e financeiro, nos moldes da Lei Complementar n° 101, de 04 de maio de 2000, registra-se:</w:t>
      </w:r>
    </w:p>
    <w:p w:rsidR="00F5337C" w:rsidRPr="00F5337C" w:rsidRDefault="00F5337C" w:rsidP="00F53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5337C">
        <w:rPr>
          <w:rFonts w:ascii="Times New Roman" w:hAnsi="Times New Roman" w:cs="Times New Roman"/>
          <w:sz w:val="28"/>
          <w:szCs w:val="28"/>
        </w:rPr>
        <w:t>O levantamento da situação tributária municipal vigente foi efetuado, através da estimativa do impacto orçamentário e financeiro e a previsão de receita da Lei Orçamentária Anual LOA, não haverá prejuízo ao Município, principalmente porque não afetará as metas fiscais municipais traçadas, pois com a efetivação da medida o Município receberá em um prazo razoável uma receita que não recebeu ao longo dos últimos anos, já que com a renúncia estima-se arrecadar R$114.758,54.</w:t>
      </w:r>
    </w:p>
    <w:p w:rsidR="00F5337C" w:rsidRDefault="00F5337C" w:rsidP="00F53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5337C">
        <w:rPr>
          <w:rFonts w:ascii="Times New Roman" w:hAnsi="Times New Roman" w:cs="Times New Roman"/>
          <w:sz w:val="28"/>
          <w:szCs w:val="28"/>
        </w:rPr>
        <w:t xml:space="preserve">Abaixo </w:t>
      </w:r>
      <w:r>
        <w:rPr>
          <w:rFonts w:ascii="Times New Roman" w:hAnsi="Times New Roman" w:cs="Times New Roman"/>
          <w:sz w:val="28"/>
          <w:szCs w:val="28"/>
        </w:rPr>
        <w:t xml:space="preserve">constam os quadros de previsão </w:t>
      </w:r>
      <w:r w:rsidRPr="00F5337C">
        <w:rPr>
          <w:rFonts w:ascii="Times New Roman" w:hAnsi="Times New Roman" w:cs="Times New Roman"/>
          <w:sz w:val="28"/>
          <w:szCs w:val="28"/>
        </w:rPr>
        <w:t>inicial da Receita Triênio 2011/2013 e previsão atualizada para o mesmo triênio, a demonstrarem um impacto orçamentário-financeiro favorável ao Município de Piau, já que o valor que retornará aos cofres públicos, com a aprovação da proposição em questão, representará, ao revés, substancial aumento da receita:</w:t>
      </w:r>
    </w:p>
    <w:p w:rsidR="00F5337C" w:rsidRDefault="00F5337C" w:rsidP="00F53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37C" w:rsidRDefault="00F5337C" w:rsidP="00F53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Previsão Inicial de Arrecadação para o Triênio 2011/2013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68"/>
        <w:gridCol w:w="1869"/>
        <w:gridCol w:w="1869"/>
        <w:gridCol w:w="1869"/>
        <w:gridCol w:w="1869"/>
      </w:tblGrid>
      <w:tr w:rsidR="00F5337C" w:rsidTr="00F5337C">
        <w:tc>
          <w:tcPr>
            <w:tcW w:w="1868" w:type="dxa"/>
          </w:tcPr>
          <w:p w:rsidR="00F5337C" w:rsidRPr="00F5337C" w:rsidRDefault="00F5337C" w:rsidP="00C31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37C">
              <w:rPr>
                <w:rFonts w:ascii="Times New Roman" w:hAnsi="Times New Roman" w:cs="Times New Roman"/>
                <w:b/>
                <w:sz w:val="28"/>
                <w:szCs w:val="28"/>
              </w:rPr>
              <w:t>Descrição</w:t>
            </w:r>
          </w:p>
        </w:tc>
        <w:tc>
          <w:tcPr>
            <w:tcW w:w="1869" w:type="dxa"/>
          </w:tcPr>
          <w:p w:rsidR="00F5337C" w:rsidRPr="00F5337C" w:rsidRDefault="00F5337C" w:rsidP="00C31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37C">
              <w:rPr>
                <w:rFonts w:ascii="Times New Roman" w:hAnsi="Times New Roman" w:cs="Times New Roman"/>
                <w:b/>
                <w:sz w:val="28"/>
                <w:szCs w:val="28"/>
              </w:rPr>
              <w:t>2011</w:t>
            </w:r>
          </w:p>
        </w:tc>
        <w:tc>
          <w:tcPr>
            <w:tcW w:w="1869" w:type="dxa"/>
          </w:tcPr>
          <w:p w:rsidR="00F5337C" w:rsidRPr="00F5337C" w:rsidRDefault="00F5337C" w:rsidP="00C31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37C">
              <w:rPr>
                <w:rFonts w:ascii="Times New Roman" w:hAnsi="Times New Roman" w:cs="Times New Roman"/>
                <w:b/>
                <w:sz w:val="28"/>
                <w:szCs w:val="28"/>
              </w:rPr>
              <w:t>2012</w:t>
            </w:r>
          </w:p>
        </w:tc>
        <w:tc>
          <w:tcPr>
            <w:tcW w:w="1869" w:type="dxa"/>
          </w:tcPr>
          <w:p w:rsidR="00F5337C" w:rsidRPr="00F5337C" w:rsidRDefault="00F5337C" w:rsidP="00C31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37C">
              <w:rPr>
                <w:rFonts w:ascii="Times New Roman" w:hAnsi="Times New Roman" w:cs="Times New Roman"/>
                <w:b/>
                <w:sz w:val="28"/>
                <w:szCs w:val="28"/>
              </w:rPr>
              <w:t>2013</w:t>
            </w:r>
          </w:p>
        </w:tc>
        <w:tc>
          <w:tcPr>
            <w:tcW w:w="1869" w:type="dxa"/>
          </w:tcPr>
          <w:p w:rsidR="00F5337C" w:rsidRPr="00F5337C" w:rsidRDefault="00F5337C" w:rsidP="00C31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37C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</w:p>
        </w:tc>
      </w:tr>
      <w:tr w:rsidR="00F5337C" w:rsidTr="00F5337C">
        <w:tc>
          <w:tcPr>
            <w:tcW w:w="1868" w:type="dxa"/>
          </w:tcPr>
          <w:p w:rsidR="00F5337C" w:rsidRDefault="00F5337C" w:rsidP="00C31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Juros e Multas</w:t>
            </w:r>
          </w:p>
        </w:tc>
        <w:tc>
          <w:tcPr>
            <w:tcW w:w="1869" w:type="dxa"/>
          </w:tcPr>
          <w:p w:rsidR="00F5337C" w:rsidRDefault="00F5337C" w:rsidP="00C31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9.320,74</w:t>
            </w:r>
          </w:p>
        </w:tc>
        <w:tc>
          <w:tcPr>
            <w:tcW w:w="1869" w:type="dxa"/>
          </w:tcPr>
          <w:p w:rsidR="00F5337C" w:rsidRDefault="00F5337C" w:rsidP="00C31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6.086,58</w:t>
            </w:r>
          </w:p>
        </w:tc>
        <w:tc>
          <w:tcPr>
            <w:tcW w:w="1869" w:type="dxa"/>
          </w:tcPr>
          <w:p w:rsidR="00F5337C" w:rsidRDefault="00F5337C" w:rsidP="00C31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6.897,54</w:t>
            </w:r>
          </w:p>
        </w:tc>
        <w:tc>
          <w:tcPr>
            <w:tcW w:w="1869" w:type="dxa"/>
          </w:tcPr>
          <w:p w:rsidR="00F5337C" w:rsidRDefault="00F5337C" w:rsidP="00C31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22.304,86</w:t>
            </w:r>
          </w:p>
        </w:tc>
      </w:tr>
      <w:tr w:rsidR="00F5337C" w:rsidTr="00F5337C">
        <w:tc>
          <w:tcPr>
            <w:tcW w:w="1868" w:type="dxa"/>
          </w:tcPr>
          <w:p w:rsidR="00F5337C" w:rsidRDefault="00F5337C" w:rsidP="00C31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Dívida Ativa</w:t>
            </w:r>
          </w:p>
        </w:tc>
        <w:tc>
          <w:tcPr>
            <w:tcW w:w="1869" w:type="dxa"/>
          </w:tcPr>
          <w:p w:rsidR="00F5337C" w:rsidRDefault="00F5337C" w:rsidP="00C31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26.665,84</w:t>
            </w:r>
          </w:p>
        </w:tc>
        <w:tc>
          <w:tcPr>
            <w:tcW w:w="1869" w:type="dxa"/>
          </w:tcPr>
          <w:p w:rsidR="00F5337C" w:rsidRDefault="00F5337C" w:rsidP="00C31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26.734,75</w:t>
            </w:r>
          </w:p>
        </w:tc>
        <w:tc>
          <w:tcPr>
            <w:tcW w:w="1869" w:type="dxa"/>
          </w:tcPr>
          <w:p w:rsidR="00F5337C" w:rsidRDefault="00F5337C" w:rsidP="00C31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59.137,47</w:t>
            </w:r>
          </w:p>
        </w:tc>
        <w:tc>
          <w:tcPr>
            <w:tcW w:w="1869" w:type="dxa"/>
          </w:tcPr>
          <w:p w:rsidR="00F5337C" w:rsidRDefault="00C317CF" w:rsidP="00C31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112.528,06</w:t>
            </w:r>
          </w:p>
        </w:tc>
      </w:tr>
      <w:tr w:rsidR="00F5337C" w:rsidTr="00F5337C">
        <w:tc>
          <w:tcPr>
            <w:tcW w:w="1868" w:type="dxa"/>
          </w:tcPr>
          <w:p w:rsidR="00F5337C" w:rsidRDefault="00F5337C" w:rsidP="00C31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Soma</w:t>
            </w:r>
          </w:p>
        </w:tc>
        <w:tc>
          <w:tcPr>
            <w:tcW w:w="1869" w:type="dxa"/>
          </w:tcPr>
          <w:p w:rsidR="00F5337C" w:rsidRDefault="00F5337C" w:rsidP="00C31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35.976,58</w:t>
            </w:r>
          </w:p>
        </w:tc>
        <w:tc>
          <w:tcPr>
            <w:tcW w:w="1869" w:type="dxa"/>
          </w:tcPr>
          <w:p w:rsidR="00F5337C" w:rsidRDefault="00F5337C" w:rsidP="00C31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32.821,33</w:t>
            </w:r>
          </w:p>
        </w:tc>
        <w:tc>
          <w:tcPr>
            <w:tcW w:w="1869" w:type="dxa"/>
          </w:tcPr>
          <w:p w:rsidR="00F5337C" w:rsidRDefault="00F5337C" w:rsidP="00C31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66.035,01</w:t>
            </w:r>
          </w:p>
        </w:tc>
        <w:tc>
          <w:tcPr>
            <w:tcW w:w="1869" w:type="dxa"/>
          </w:tcPr>
          <w:p w:rsidR="00F5337C" w:rsidRDefault="00C317CF" w:rsidP="00C31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134.832,92</w:t>
            </w:r>
          </w:p>
        </w:tc>
      </w:tr>
    </w:tbl>
    <w:p w:rsidR="00F5337C" w:rsidRPr="00F5337C" w:rsidRDefault="00F5337C" w:rsidP="00F53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37C" w:rsidRPr="00F5337C" w:rsidRDefault="00F5337C" w:rsidP="00F53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7CF" w:rsidRDefault="00C317CF" w:rsidP="00C317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7CF">
        <w:rPr>
          <w:rFonts w:ascii="Times New Roman" w:hAnsi="Times New Roman" w:cs="Times New Roman"/>
          <w:sz w:val="28"/>
          <w:szCs w:val="28"/>
        </w:rPr>
        <w:lastRenderedPageBreak/>
        <w:t>Previsão Atualizada de Arrecadação para o Triênio 2011/2013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68"/>
        <w:gridCol w:w="1869"/>
        <w:gridCol w:w="1869"/>
        <w:gridCol w:w="1869"/>
        <w:gridCol w:w="1869"/>
      </w:tblGrid>
      <w:tr w:rsidR="00C317CF" w:rsidTr="00C317CF">
        <w:tc>
          <w:tcPr>
            <w:tcW w:w="1868" w:type="dxa"/>
          </w:tcPr>
          <w:p w:rsidR="00C317CF" w:rsidRPr="00F5337C" w:rsidRDefault="00C317CF" w:rsidP="00C31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37C">
              <w:rPr>
                <w:rFonts w:ascii="Times New Roman" w:hAnsi="Times New Roman" w:cs="Times New Roman"/>
                <w:b/>
                <w:sz w:val="28"/>
                <w:szCs w:val="28"/>
              </w:rPr>
              <w:t>Descrição</w:t>
            </w:r>
          </w:p>
        </w:tc>
        <w:tc>
          <w:tcPr>
            <w:tcW w:w="1869" w:type="dxa"/>
          </w:tcPr>
          <w:p w:rsidR="00C317CF" w:rsidRPr="00F5337C" w:rsidRDefault="00C317CF" w:rsidP="00C31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37C">
              <w:rPr>
                <w:rFonts w:ascii="Times New Roman" w:hAnsi="Times New Roman" w:cs="Times New Roman"/>
                <w:b/>
                <w:sz w:val="28"/>
                <w:szCs w:val="28"/>
              </w:rPr>
              <w:t>2011</w:t>
            </w:r>
          </w:p>
        </w:tc>
        <w:tc>
          <w:tcPr>
            <w:tcW w:w="1869" w:type="dxa"/>
          </w:tcPr>
          <w:p w:rsidR="00C317CF" w:rsidRPr="00F5337C" w:rsidRDefault="00C317CF" w:rsidP="00C31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37C">
              <w:rPr>
                <w:rFonts w:ascii="Times New Roman" w:hAnsi="Times New Roman" w:cs="Times New Roman"/>
                <w:b/>
                <w:sz w:val="28"/>
                <w:szCs w:val="28"/>
              </w:rPr>
              <w:t>2012</w:t>
            </w:r>
          </w:p>
        </w:tc>
        <w:tc>
          <w:tcPr>
            <w:tcW w:w="1869" w:type="dxa"/>
          </w:tcPr>
          <w:p w:rsidR="00C317CF" w:rsidRPr="00F5337C" w:rsidRDefault="00C317CF" w:rsidP="00C31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37C">
              <w:rPr>
                <w:rFonts w:ascii="Times New Roman" w:hAnsi="Times New Roman" w:cs="Times New Roman"/>
                <w:b/>
                <w:sz w:val="28"/>
                <w:szCs w:val="28"/>
              </w:rPr>
              <w:t>2013</w:t>
            </w:r>
          </w:p>
        </w:tc>
        <w:tc>
          <w:tcPr>
            <w:tcW w:w="1869" w:type="dxa"/>
          </w:tcPr>
          <w:p w:rsidR="00C317CF" w:rsidRPr="00F5337C" w:rsidRDefault="00C317CF" w:rsidP="00C31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37C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</w:p>
        </w:tc>
      </w:tr>
      <w:tr w:rsidR="00C317CF" w:rsidTr="00C317CF">
        <w:tc>
          <w:tcPr>
            <w:tcW w:w="1868" w:type="dxa"/>
          </w:tcPr>
          <w:p w:rsidR="00C317CF" w:rsidRDefault="00C317CF" w:rsidP="00C31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Juros e Multas</w:t>
            </w:r>
          </w:p>
        </w:tc>
        <w:tc>
          <w:tcPr>
            <w:tcW w:w="1869" w:type="dxa"/>
          </w:tcPr>
          <w:p w:rsidR="00C317CF" w:rsidRDefault="00C317CF" w:rsidP="00C31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932,07</w:t>
            </w:r>
          </w:p>
        </w:tc>
        <w:tc>
          <w:tcPr>
            <w:tcW w:w="1869" w:type="dxa"/>
          </w:tcPr>
          <w:p w:rsidR="00C317CF" w:rsidRDefault="00C317CF" w:rsidP="00C31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608,66</w:t>
            </w:r>
          </w:p>
        </w:tc>
        <w:tc>
          <w:tcPr>
            <w:tcW w:w="1869" w:type="dxa"/>
          </w:tcPr>
          <w:p w:rsidR="00C317CF" w:rsidRDefault="00C317CF" w:rsidP="00C31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6879,75</w:t>
            </w:r>
          </w:p>
        </w:tc>
        <w:tc>
          <w:tcPr>
            <w:tcW w:w="1869" w:type="dxa"/>
          </w:tcPr>
          <w:p w:rsidR="00C317CF" w:rsidRDefault="00C317CF" w:rsidP="00C31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2.230,48</w:t>
            </w:r>
          </w:p>
        </w:tc>
      </w:tr>
      <w:tr w:rsidR="00C317CF" w:rsidTr="00C317CF">
        <w:tc>
          <w:tcPr>
            <w:tcW w:w="1868" w:type="dxa"/>
          </w:tcPr>
          <w:p w:rsidR="00C317CF" w:rsidRDefault="00C317CF" w:rsidP="00C31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Dívida Ativa</w:t>
            </w:r>
          </w:p>
        </w:tc>
        <w:tc>
          <w:tcPr>
            <w:tcW w:w="1869" w:type="dxa"/>
          </w:tcPr>
          <w:p w:rsidR="00C317CF" w:rsidRDefault="00C317CF" w:rsidP="00C31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26.665,84</w:t>
            </w:r>
          </w:p>
        </w:tc>
        <w:tc>
          <w:tcPr>
            <w:tcW w:w="1869" w:type="dxa"/>
          </w:tcPr>
          <w:p w:rsidR="00C317CF" w:rsidRDefault="00C317CF" w:rsidP="00C31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26.734,75</w:t>
            </w:r>
          </w:p>
        </w:tc>
        <w:tc>
          <w:tcPr>
            <w:tcW w:w="1869" w:type="dxa"/>
          </w:tcPr>
          <w:p w:rsidR="00C317CF" w:rsidRDefault="00C317CF" w:rsidP="00C31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59.137,47</w:t>
            </w:r>
          </w:p>
        </w:tc>
        <w:tc>
          <w:tcPr>
            <w:tcW w:w="1869" w:type="dxa"/>
          </w:tcPr>
          <w:p w:rsidR="00C317CF" w:rsidRDefault="00C317CF" w:rsidP="00C31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112.528,06</w:t>
            </w:r>
          </w:p>
        </w:tc>
      </w:tr>
      <w:tr w:rsidR="00C317CF" w:rsidTr="00C317CF">
        <w:tc>
          <w:tcPr>
            <w:tcW w:w="1868" w:type="dxa"/>
          </w:tcPr>
          <w:p w:rsidR="00C317CF" w:rsidRDefault="00C317CF" w:rsidP="00C31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Soma</w:t>
            </w:r>
          </w:p>
        </w:tc>
        <w:tc>
          <w:tcPr>
            <w:tcW w:w="1869" w:type="dxa"/>
          </w:tcPr>
          <w:p w:rsidR="00C317CF" w:rsidRDefault="00C317CF" w:rsidP="00C31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25.587,91</w:t>
            </w:r>
          </w:p>
        </w:tc>
        <w:tc>
          <w:tcPr>
            <w:tcW w:w="1869" w:type="dxa"/>
          </w:tcPr>
          <w:p w:rsidR="00C317CF" w:rsidRDefault="00C317CF" w:rsidP="00C31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27.343,41</w:t>
            </w:r>
          </w:p>
        </w:tc>
        <w:tc>
          <w:tcPr>
            <w:tcW w:w="1869" w:type="dxa"/>
          </w:tcPr>
          <w:p w:rsidR="00C317CF" w:rsidRDefault="00C317CF" w:rsidP="00C31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59.827,22</w:t>
            </w:r>
          </w:p>
        </w:tc>
        <w:tc>
          <w:tcPr>
            <w:tcW w:w="1869" w:type="dxa"/>
          </w:tcPr>
          <w:p w:rsidR="00C317CF" w:rsidRDefault="00C317CF" w:rsidP="00C31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114.758,54</w:t>
            </w:r>
          </w:p>
        </w:tc>
      </w:tr>
    </w:tbl>
    <w:p w:rsidR="00C317CF" w:rsidRDefault="00C317CF" w:rsidP="00C317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7CF" w:rsidRPr="00C317CF" w:rsidRDefault="00C317CF" w:rsidP="00C31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317CF">
        <w:rPr>
          <w:rFonts w:ascii="Times New Roman" w:hAnsi="Times New Roman" w:cs="Times New Roman"/>
          <w:sz w:val="28"/>
          <w:szCs w:val="28"/>
        </w:rPr>
        <w:t>Assim é que, o aumento da receita a ser alcançada representará ingresso de receita aos cofres públicos municipais, superando a previsão e invertendo o quadro atual de decréscimo das receitas tributárias.</w:t>
      </w:r>
    </w:p>
    <w:p w:rsidR="00C317CF" w:rsidRPr="00C317CF" w:rsidRDefault="00C317CF" w:rsidP="00C31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7CF" w:rsidRPr="00C317CF" w:rsidRDefault="00C317CF" w:rsidP="00C31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317CF">
        <w:rPr>
          <w:rFonts w:ascii="Times New Roman" w:hAnsi="Times New Roman" w:cs="Times New Roman"/>
          <w:sz w:val="28"/>
          <w:szCs w:val="28"/>
        </w:rPr>
        <w:t>A renúncia de receita tem adequação na lei de diretrizes orçamentárias, bem como no orçamento de 2015 no sentido de que sua implementação nos moldes apresentados, é de grande alcance social, pois melhora sensivelmente o desempenho da receita municipal, propiciando um razoável volume de quitações de débitos tributários, além de permitir a um grande número de contribuintes a solução de sua situação fiscal.</w:t>
      </w:r>
    </w:p>
    <w:p w:rsidR="00C317CF" w:rsidRPr="00C317CF" w:rsidRDefault="00C317CF" w:rsidP="00C31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317CF">
        <w:rPr>
          <w:rFonts w:ascii="Times New Roman" w:hAnsi="Times New Roman" w:cs="Times New Roman"/>
          <w:sz w:val="28"/>
          <w:szCs w:val="28"/>
        </w:rPr>
        <w:t>Ante o planejamento orçamentário e financeiro em questão, constata-se que as medidas objetivadas visam melhorar a arrecadação municipal.</w:t>
      </w:r>
    </w:p>
    <w:p w:rsidR="00C317CF" w:rsidRPr="00C317CF" w:rsidRDefault="00C317CF" w:rsidP="00C31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317CF">
        <w:rPr>
          <w:rFonts w:ascii="Times New Roman" w:hAnsi="Times New Roman" w:cs="Times New Roman"/>
          <w:sz w:val="28"/>
          <w:szCs w:val="28"/>
        </w:rPr>
        <w:t>Com referência ao cumprimento das diretrizes previstas no art. 14 da</w:t>
      </w:r>
    </w:p>
    <w:p w:rsidR="00C317CF" w:rsidRPr="00C317CF" w:rsidRDefault="00C317CF" w:rsidP="00C31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7CF">
        <w:rPr>
          <w:rFonts w:ascii="Times New Roman" w:hAnsi="Times New Roman" w:cs="Times New Roman"/>
          <w:sz w:val="28"/>
          <w:szCs w:val="28"/>
        </w:rPr>
        <w:t>Lei Complementar n° 101, de 4 de maio de 2000 - Lei de Responsabilidade Fiscal (LRF), atinente à renúncia de receitas derivadas da concessão de incentivo ou benefício de natureza tributária, cabe registrar que a proposição mantém consonância com o disposto no inciso I do caput, considerando-se que as estimativas de receita das Leis Orçamentárias Anuais para os exercícios de 2014 e 2015, a serem aprovadas pela Câmara Municipal, deverão contemplar a renúncia ora autorizada.</w:t>
      </w:r>
    </w:p>
    <w:p w:rsidR="00C317CF" w:rsidRDefault="00C317CF" w:rsidP="00C31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317CF">
        <w:rPr>
          <w:rFonts w:ascii="Times New Roman" w:hAnsi="Times New Roman" w:cs="Times New Roman"/>
          <w:sz w:val="28"/>
          <w:szCs w:val="28"/>
        </w:rPr>
        <w:t>Exposto e consciente da relevância do Presente Projeto, passo às mãos dos Nobres Edis, para apreciação e conto com sua aprovação.</w:t>
      </w:r>
    </w:p>
    <w:p w:rsidR="00C317CF" w:rsidRDefault="00C317CF" w:rsidP="00C31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7CF" w:rsidRDefault="00C317CF" w:rsidP="00C317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Piau, 24 de outubro de 2014.</w:t>
      </w:r>
    </w:p>
    <w:p w:rsidR="00C317CF" w:rsidRDefault="00C317CF" w:rsidP="00C317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7CF" w:rsidRDefault="00C317CF" w:rsidP="00C317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7CF" w:rsidRDefault="00C317CF" w:rsidP="00C317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Carlos Alberto Lopes de Oliveira</w:t>
      </w:r>
    </w:p>
    <w:p w:rsidR="00C317CF" w:rsidRPr="00C317CF" w:rsidRDefault="00C317CF" w:rsidP="00C317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Prefeito Municipal</w:t>
      </w:r>
    </w:p>
    <w:p w:rsidR="00C317CF" w:rsidRPr="00C317CF" w:rsidRDefault="00C317CF" w:rsidP="00C317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337C" w:rsidRPr="00F5337C" w:rsidRDefault="00F5337C" w:rsidP="00F53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337C" w:rsidRPr="00F5337C" w:rsidRDefault="00F5337C" w:rsidP="00F53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F5337C" w:rsidRPr="00F5337C" w:rsidRDefault="00F5337C" w:rsidP="00F53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5337C" w:rsidRPr="00F5337C" w:rsidSect="00F5337C">
      <w:pgSz w:w="11906" w:h="16838" w:code="9"/>
      <w:pgMar w:top="1701" w:right="1134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37C"/>
    <w:rsid w:val="00131466"/>
    <w:rsid w:val="009A62E5"/>
    <w:rsid w:val="00C317CF"/>
    <w:rsid w:val="00DF7E15"/>
    <w:rsid w:val="00F5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7708AEB-983D-47AD-B382-15EC775D0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53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6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902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Piau</dc:creator>
  <cp:keywords/>
  <dc:description/>
  <cp:lastModifiedBy>Piau</cp:lastModifiedBy>
  <cp:revision>4</cp:revision>
  <dcterms:created xsi:type="dcterms:W3CDTF">2014-11-13T11:15:00Z</dcterms:created>
  <dcterms:modified xsi:type="dcterms:W3CDTF">2014-11-20T16:10:00Z</dcterms:modified>
</cp:coreProperties>
</file>